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902" w:tblpY="90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8780" w:type="dxa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领导干部履行经济责任情况自检表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年度) 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报告人：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（签名）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年  月  日</w:t>
            </w: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云南民族大学党委审计工作委员会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云南民族大学审计处     制</w:t>
            </w: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ind w:firstLine="2530" w:firstLineChars="900"/>
              <w:rPr>
                <w:rFonts w:ascii="仿宋" w:hAnsi="仿宋" w:eastAsia="仿宋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u w:val="single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填表说明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 根据《云南民族大学领导干部经济责任年度报告办法》，制定本表。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二、使用范围：党政管理机构、教学科研机构、教学辅助机构、群团组织和附属机构、其他机构正职领导干部或者主持工作的副职领导干部；二级党委、党总支、直属党支部书记。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三、自我检查年度经济责任履行情况，每年1月15日前交审计处，并对填报内容的真实性、完整性负责。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四、请对照具体检查内容栏目，在表格的“是”、“否”选项下打“√”；对涉及多项内容的栏目，若大多履行到位，可选择“是”，并将未履行到位的内容在备注中或另附材料说明。</w:t>
      </w:r>
    </w:p>
    <w:p>
      <w:pPr>
        <w:ind w:firstLine="562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2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2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2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2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2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2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2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云南民族大学领导干部履行经济责任自检表</w:t>
      </w:r>
    </w:p>
    <w:tbl>
      <w:tblPr>
        <w:tblStyle w:val="3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93"/>
        <w:gridCol w:w="6127"/>
        <w:gridCol w:w="367"/>
        <w:gridCol w:w="384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内容分类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6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具体检查内容</w:t>
            </w:r>
          </w:p>
        </w:tc>
        <w:tc>
          <w:tcPr>
            <w:tcW w:w="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经济执行权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完成上级部门和学校下达的年度工作考核目标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执行学校改革发展规划，创新工作方法，并对本单位的年度工作产生重大正面影响，进而取得突破性成绩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严格遵守国家相关法律法规、财经纪律及学校规章制度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经济决策权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建立健全本单位的议事规则和内部管理制度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本单位 “三重一大”决策事项集体讨论决策，并按程序公开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主要经济决策内容符合法律法规规定，各项决策执行后产生较好的效益，没有造成国有资产损失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经济管理权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建立和完善本部门内部分工与牵制等内部控制制度，并有效执行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严格执行“收支两条线”规定，没有隐瞒收入、设立账外账的情况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各项支出严格按照预算管理规定执行，没有违反规定虚列支出、转移资金、在其他机构列支费用等问题，专项资金使用遵循专款专用原则，没有挤占挪用情况，预算调整按程序审批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按照国家规定的收费项目、收费范围和收费标准收费，没有自定项目、超范围超标准收费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据实申报专项经费预算，无挤占挪用或结余较大现象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科研经费收入正规合法，支出专款专用，没有违规虚列支出、套取科研经费情况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各项资产账实相符，没有账外资产，资产的购置、使用、调拨、报废等按学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校《固定资产管理办法》</w:t>
            </w:r>
            <w:r>
              <w:rPr>
                <w:rFonts w:hint="eastAsia" w:ascii="仿宋" w:hAnsi="仿宋" w:eastAsia="仿宋" w:cs="仿宋"/>
                <w:szCs w:val="21"/>
              </w:rPr>
              <w:t>执行，每年至少对本单位使用和管理的资产进行一次清查核对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建设项目、物资设备（服务）采购等按国家规定程序进行，无未经审批先实施等情况；项目资金来源合法并按规定使用，没有超标准超预算情况；项目完成及时办理验收、入库、交接并结转固定资产，没有未入账固定资产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经济监督权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单位的各项内部控制制度建立健全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严格执行“厉行节约、反对浪费”规定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按“不相容职务相分离”的原则设置工作岗位及安排工作任务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个人廉洁从政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严格遵守有关工资薪酬、兼职和职务消费等方面规定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没有利用职权为家人、亲友和下属等谋取不正当利益情况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4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领导班子成员没有因与职务有关的廉政问题受到党纪政纪处分、或被追究刑事责任，下属人员没有因廉政问题被查处</w:t>
            </w:r>
          </w:p>
        </w:tc>
        <w:tc>
          <w:tcPr>
            <w:tcW w:w="36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2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631A2"/>
    <w:rsid w:val="098631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2019-12-09T02:10:00Z</dcterms:created>
  <dc:creator>lishuang</dc:creator>
  <cp:lastModifiedBy>lishuang</cp:lastModifiedBy>
  <dcterms:modified xsi:type="dcterms:W3CDTF">2019-12-09T02:11:51Z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