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69"/>
        <w:gridCol w:w="2120"/>
        <w:gridCol w:w="2310"/>
        <w:gridCol w:w="2490"/>
        <w:gridCol w:w="1320"/>
        <w:gridCol w:w="1305"/>
        <w:gridCol w:w="162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Arial Black" w:eastAsia="方正小标宋简体" w:cs="宋体"/>
                <w:bCs/>
                <w:color w:val="000000"/>
                <w:kern w:val="0"/>
                <w:sz w:val="22"/>
                <w:szCs w:val="22"/>
              </w:rPr>
              <w:t xml:space="preserve">附件1：       </w:t>
            </w:r>
            <w:bookmarkStart w:id="0" w:name="_GoBack"/>
            <w:r>
              <w:rPr>
                <w:rFonts w:hint="eastAsia" w:ascii="方正小标宋简体" w:hAnsi="Arial Black" w:eastAsia="方正小标宋简体" w:cs="宋体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云南民族大学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lang w:bidi="ar"/>
              </w:rPr>
              <w:t>文学与传媒学院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年硕士研究生招生考试复试工作安排表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培养单位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候考抽签时间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参加复试人数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候考室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复试地点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2023年4月1日8:30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4月1日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博雅院C304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2023年4月1日8:30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4月1日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新闻与传播学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博雅院C303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2023年4月1日8:30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4月1日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博雅院C302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2023年4月1日8:30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4月1日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文艺学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博雅院C208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文艺学和比较文学专业合并为同一组，该组学生先面试文艺学，再面试比较文学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2023年4月1日8:30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4月1日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比较文学与世界文学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博雅院C208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2023年4月1日8:30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4月1日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中国古代文学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博雅院C209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2023年4月1日8:30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4月1日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中国现当代文学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博雅院C308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2023年4月1日8:30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4月1日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汉语国际教育（第一组）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博雅院C307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文学与传媒学院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4月2日 9:00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汉语国际教育（第二组）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博雅院C307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jgzNmMwMjMyMzAyYmNkYmIxNGNmNDc0YjY5NWIifQ=="/>
  </w:docVars>
  <w:rsids>
    <w:rsidRoot w:val="251C73BF"/>
    <w:rsid w:val="251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2023-03-26T08:05:00Z</dcterms:created>
  <dc:creator>小萝卜</dc:creator>
  <cp:lastModifiedBy>小萝卜</cp:lastModifiedBy>
  <dcterms:modified xsi:type="dcterms:W3CDTF">2023-03-26T08:07:40Z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0BEA50FC21944B359E1157DF2092E070_11</vt:lpwstr>
  </property>
</Properties>
</file>