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outlineLvl w:val="1"/>
        <w:rPr>
          <w:rFonts w:hint="eastAsia" w:ascii="方正小标宋_GBK" w:hAnsi="方正小标宋_GBK" w:eastAsia="方正小标宋_GBK" w:cs="方正小标宋_GBK"/>
          <w:b/>
          <w:bCs/>
          <w:color w:val="auto"/>
          <w:sz w:val="36"/>
          <w:szCs w:val="44"/>
        </w:rPr>
      </w:pPr>
      <w:bookmarkStart w:id="0" w:name="_Toc26228"/>
      <w:r>
        <w:rPr>
          <w:rFonts w:hint="eastAsia" w:ascii="方正小标宋_GBK" w:hAnsi="方正小标宋_GBK" w:eastAsia="方正小标宋_GBK" w:cs="方正小标宋_GBK"/>
          <w:b/>
          <w:bCs/>
          <w:color w:val="auto"/>
          <w:sz w:val="36"/>
          <w:szCs w:val="44"/>
        </w:rPr>
        <w:t>云南民族大学领导干部经济责任</w:t>
      </w:r>
      <w:bookmarkEnd w:id="0"/>
    </w:p>
    <w:p>
      <w:pPr>
        <w:spacing w:after="93" w:afterLines="30" w:line="700" w:lineRule="exact"/>
        <w:jc w:val="center"/>
        <w:outlineLvl w:val="1"/>
        <w:rPr>
          <w:rFonts w:hint="eastAsia" w:ascii="方正小标宋_GBK" w:hAnsi="方正小标宋_GBK" w:eastAsia="方正小标宋_GBK" w:cs="方正小标宋_GBK"/>
          <w:b/>
          <w:bCs/>
          <w:color w:val="auto"/>
          <w:sz w:val="36"/>
          <w:szCs w:val="44"/>
        </w:rPr>
      </w:pPr>
      <w:bookmarkStart w:id="1" w:name="_Toc23428"/>
      <w:r>
        <w:rPr>
          <w:rFonts w:hint="eastAsia" w:ascii="方正小标宋_GBK" w:hAnsi="方正小标宋_GBK" w:eastAsia="方正小标宋_GBK" w:cs="方正小标宋_GBK"/>
          <w:b/>
          <w:bCs/>
          <w:color w:val="auto"/>
          <w:sz w:val="36"/>
          <w:szCs w:val="44"/>
        </w:rPr>
        <w:t>审计对象分类管理办法</w:t>
      </w:r>
      <w:bookmarkEnd w:id="1"/>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第一条</w:t>
      </w:r>
      <w:r>
        <w:rPr>
          <w:rFonts w:hint="eastAsia" w:ascii="仿宋_GB2312" w:hAnsi="仿宋_GB2312" w:eastAsia="仿宋_GB2312" w:cs="仿宋_GB2312"/>
          <w:color w:val="auto"/>
          <w:sz w:val="32"/>
          <w:szCs w:val="32"/>
        </w:rPr>
        <w:t xml:space="preserve"> 为推进对领导干部履行经济责任情况实行审计全覆盖，进一步加强经济责任审计对象管理，促进领导干部履职尽责、担当作为，根据《党政主要领导</w:t>
      </w:r>
      <w:bookmarkStart w:id="2" w:name="_GoBack"/>
      <w:bookmarkEnd w:id="2"/>
      <w:r>
        <w:rPr>
          <w:rFonts w:hint="eastAsia" w:ascii="仿宋_GB2312" w:hAnsi="仿宋_GB2312" w:eastAsia="仿宋_GB2312" w:cs="仿宋_GB2312"/>
          <w:color w:val="auto"/>
          <w:sz w:val="32"/>
          <w:szCs w:val="32"/>
        </w:rPr>
        <w:t>干部和国有企事业单位主要领导人员经济责任审计规定》（中办发〔2019〕45号）及《关于印发云南省领导干部经济责任审计全覆盖实施意见及相关配套制度的通知》（云审发〔2020〕24号）等有关文件，结合学校实际，制定本办法。</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第二条</w:t>
      </w:r>
      <w:r>
        <w:rPr>
          <w:rFonts w:hint="eastAsia" w:ascii="仿宋_GB2312" w:hAnsi="仿宋_GB2312" w:eastAsia="仿宋_GB2312" w:cs="仿宋_GB2312"/>
          <w:color w:val="auto"/>
          <w:sz w:val="32"/>
          <w:szCs w:val="32"/>
        </w:rPr>
        <w:t xml:space="preserve"> 本办法所称分类管理，是针对学校不同岗位的领导干部，根据其机构工作性质、经济活动规模、管理使用支配的资金</w:t>
      </w:r>
      <w:r>
        <w:rPr>
          <w:rFonts w:hint="eastAsia" w:ascii="仿宋_GB2312" w:hAnsi="仿宋_GB2312" w:eastAsia="仿宋_GB2312" w:cs="仿宋_GB2312"/>
          <w:color w:val="auto"/>
          <w:sz w:val="32"/>
          <w:szCs w:val="32"/>
        </w:rPr>
        <w:t>量、岗位风险情况和履行经济责任及义务等因素，对其进行分类，针对不同类型的审计对象采取不同的审计方式和报告形式。</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第三条</w:t>
      </w:r>
      <w:r>
        <w:rPr>
          <w:rFonts w:hint="eastAsia" w:ascii="仿宋_GB2312" w:hAnsi="仿宋_GB2312" w:eastAsia="仿宋_GB2312" w:cs="仿宋_GB2312"/>
          <w:color w:val="auto"/>
          <w:sz w:val="32"/>
          <w:szCs w:val="32"/>
        </w:rPr>
        <w:t xml:space="preserve"> 经济责任审计对象分类管理坚持全面监督、突出重点、讲究效率、动态调整的原则。</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第四条</w:t>
      </w:r>
      <w:r>
        <w:rPr>
          <w:rFonts w:hint="eastAsia" w:ascii="仿宋_GB2312" w:hAnsi="仿宋_GB2312" w:eastAsia="仿宋_GB2312" w:cs="仿宋_GB2312"/>
          <w:color w:val="auto"/>
          <w:sz w:val="32"/>
          <w:szCs w:val="32"/>
        </w:rPr>
        <w:t xml:space="preserve"> 根据经济责任审计对象的经</w:t>
      </w:r>
      <w:r>
        <w:rPr>
          <w:rFonts w:hint="eastAsia" w:ascii="仿宋_GB2312" w:hAnsi="仿宋_GB2312" w:eastAsia="仿宋_GB2312" w:cs="仿宋_GB2312"/>
          <w:color w:val="auto"/>
          <w:sz w:val="32"/>
          <w:szCs w:val="32"/>
        </w:rPr>
        <w:t>济管理权限及其所在部门的工作性质、经济活动规模、掌握资金量大小、岗位风险情况等，将经济责任审计对象分为A、B、C三类。</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A类：学校“七个关口”部门</w:t>
      </w:r>
      <w:r>
        <w:rPr>
          <w:rFonts w:hint="eastAsia" w:ascii="仿宋_GB2312" w:hAnsi="仿宋_GB2312" w:eastAsia="仿宋_GB2312" w:cs="仿宋_GB2312"/>
          <w:color w:val="auto"/>
          <w:sz w:val="32"/>
          <w:szCs w:val="32"/>
          <w:lang w:val="en-US" w:eastAsia="zh-CN"/>
        </w:rPr>
        <w:t>行政</w:t>
      </w:r>
      <w:r>
        <w:rPr>
          <w:rFonts w:hint="eastAsia" w:ascii="仿宋_GB2312" w:hAnsi="仿宋_GB2312" w:eastAsia="仿宋_GB2312" w:cs="仿宋_GB2312"/>
          <w:color w:val="auto"/>
          <w:sz w:val="32"/>
          <w:szCs w:val="32"/>
        </w:rPr>
        <w:t>正职领导干部或者主持</w:t>
      </w:r>
      <w:r>
        <w:rPr>
          <w:rFonts w:hint="eastAsia" w:ascii="仿宋_GB2312" w:hAnsi="仿宋_GB2312" w:eastAsia="仿宋_GB2312" w:cs="仿宋_GB2312"/>
          <w:color w:val="auto"/>
          <w:sz w:val="32"/>
          <w:szCs w:val="32"/>
          <w:lang w:val="en-US" w:eastAsia="zh-CN"/>
        </w:rPr>
        <w:t>行政</w:t>
      </w:r>
      <w:r>
        <w:rPr>
          <w:rFonts w:hint="eastAsia" w:ascii="仿宋_GB2312" w:hAnsi="仿宋_GB2312" w:eastAsia="仿宋_GB2312" w:cs="仿宋_GB2312"/>
          <w:color w:val="auto"/>
          <w:sz w:val="32"/>
          <w:szCs w:val="32"/>
        </w:rPr>
        <w:t>工作一年以上的副职领导干部，及学校附属机构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其他机构</w:t>
      </w:r>
      <w:r>
        <w:rPr>
          <w:rFonts w:hint="eastAsia" w:ascii="仿宋_GB2312" w:hAnsi="仿宋_GB2312" w:eastAsia="仿宋_GB2312" w:cs="仿宋_GB2312"/>
          <w:color w:val="auto"/>
          <w:sz w:val="32"/>
          <w:szCs w:val="32"/>
        </w:rPr>
        <w:t>等财务独立核算单位</w:t>
      </w:r>
      <w:r>
        <w:rPr>
          <w:rFonts w:hint="eastAsia" w:ascii="仿宋_GB2312" w:hAnsi="仿宋_GB2312" w:eastAsia="仿宋_GB2312" w:cs="仿宋_GB2312"/>
          <w:color w:val="auto"/>
          <w:sz w:val="32"/>
          <w:szCs w:val="32"/>
          <w:lang w:val="en-US" w:eastAsia="zh-CN"/>
        </w:rPr>
        <w:t>行政</w:t>
      </w:r>
      <w:r>
        <w:rPr>
          <w:rFonts w:hint="eastAsia" w:ascii="仿宋_GB2312" w:hAnsi="仿宋_GB2312" w:eastAsia="仿宋_GB2312" w:cs="仿宋_GB2312"/>
          <w:color w:val="auto"/>
          <w:sz w:val="32"/>
          <w:szCs w:val="32"/>
        </w:rPr>
        <w:t>主要负责人。</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B类：除A类以外其他院、部、处</w:t>
      </w:r>
      <w:r>
        <w:rPr>
          <w:rFonts w:hint="eastAsia" w:ascii="仿宋_GB2312" w:hAnsi="仿宋_GB2312" w:eastAsia="仿宋_GB2312" w:cs="仿宋_GB2312"/>
          <w:color w:val="auto"/>
          <w:sz w:val="32"/>
          <w:szCs w:val="32"/>
        </w:rPr>
        <w:t>、所、馆行政正职领</w:t>
      </w:r>
      <w:r>
        <w:rPr>
          <w:rFonts w:hint="eastAsia" w:ascii="仿宋_GB2312" w:hAnsi="仿宋_GB2312" w:eastAsia="仿宋_GB2312" w:cs="仿宋_GB2312"/>
          <w:color w:val="auto"/>
          <w:sz w:val="32"/>
          <w:szCs w:val="32"/>
        </w:rPr>
        <w:t>导干部或者主持工作一年以上的副职领导干部。</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C类：二级党委、党</w:t>
      </w:r>
      <w:r>
        <w:rPr>
          <w:rFonts w:hint="eastAsia" w:ascii="仿宋_GB2312" w:hAnsi="仿宋_GB2312" w:eastAsia="仿宋_GB2312" w:cs="仿宋_GB2312"/>
          <w:color w:val="auto"/>
          <w:sz w:val="32"/>
          <w:szCs w:val="32"/>
        </w:rPr>
        <w:t>总支、</w:t>
      </w:r>
      <w:r>
        <w:rPr>
          <w:rFonts w:hint="eastAsia" w:ascii="仿宋_GB2312" w:hAnsi="仿宋_GB2312" w:eastAsia="仿宋_GB2312" w:cs="仿宋_GB2312"/>
          <w:color w:val="auto"/>
          <w:sz w:val="32"/>
          <w:szCs w:val="32"/>
        </w:rPr>
        <w:t>直属支部书记。</w:t>
      </w:r>
    </w:p>
    <w:p>
      <w:pPr>
        <w:spacing w:line="360" w:lineRule="auto"/>
        <w:ind w:firstLine="643" w:firstLineChars="200"/>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 xml:space="preserve">第五条 </w:t>
      </w:r>
      <w:r>
        <w:rPr>
          <w:rFonts w:hint="eastAsia" w:ascii="仿宋_GB2312" w:hAnsi="仿宋_GB2312" w:eastAsia="仿宋_GB2312" w:cs="仿宋_GB2312"/>
          <w:color w:val="auto"/>
          <w:sz w:val="32"/>
          <w:szCs w:val="32"/>
        </w:rPr>
        <w:t>经济责任审计对象分类实行动态管理，根据上级制度规定结合学校实际情况进行调整，调整方案上报党委审计工作委员会审定后实施。</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第六条</w:t>
      </w:r>
      <w:r>
        <w:rPr>
          <w:rFonts w:hint="eastAsia" w:ascii="仿宋_GB2312" w:hAnsi="仿宋_GB2312" w:eastAsia="仿宋_GB2312" w:cs="仿宋_GB2312"/>
          <w:color w:val="auto"/>
          <w:sz w:val="32"/>
          <w:szCs w:val="32"/>
        </w:rPr>
        <w:t xml:space="preserve"> 在对经济责任审计对象分类的基础上，坚持以任中审计为主，合理安排各类型领导干部经济责任审计项目计划，实行不同的审计监督方式。</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A类审计对象，原则上</w:t>
      </w:r>
      <w:r>
        <w:rPr>
          <w:rFonts w:hint="eastAsia" w:ascii="仿宋_GB2312" w:hAnsi="仿宋_GB2312" w:eastAsia="仿宋_GB2312" w:cs="仿宋_GB2312"/>
          <w:color w:val="auto"/>
          <w:sz w:val="32"/>
          <w:szCs w:val="32"/>
          <w:lang w:val="en-US" w:eastAsia="zh-CN"/>
        </w:rPr>
        <w:t>必审，实行任中审计与离任审计相结合的方式，</w:t>
      </w:r>
      <w:r>
        <w:rPr>
          <w:rFonts w:hint="eastAsia" w:ascii="仿宋_GB2312" w:hAnsi="仿宋_GB2312" w:eastAsia="仿宋_GB2312" w:cs="仿宋_GB2312"/>
          <w:color w:val="auto"/>
          <w:sz w:val="32"/>
          <w:szCs w:val="32"/>
        </w:rPr>
        <w:t>根据任职情况列入年度计划安排。</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B类审计对象，原则上</w:t>
      </w:r>
      <w:r>
        <w:rPr>
          <w:rFonts w:hint="eastAsia" w:ascii="仿宋_GB2312" w:hAnsi="仿宋_GB2312" w:eastAsia="仿宋_GB2312" w:cs="仿宋_GB2312"/>
          <w:color w:val="auto"/>
          <w:sz w:val="32"/>
          <w:szCs w:val="32"/>
          <w:lang w:val="en-US" w:eastAsia="zh-CN"/>
        </w:rPr>
        <w:t>抽审</w:t>
      </w:r>
      <w:r>
        <w:rPr>
          <w:rFonts w:hint="eastAsia" w:ascii="仿宋_GB2312" w:hAnsi="仿宋_GB2312" w:eastAsia="仿宋_GB2312" w:cs="仿宋_GB2312"/>
          <w:color w:val="auto"/>
          <w:sz w:val="32"/>
          <w:szCs w:val="32"/>
        </w:rPr>
        <w:t>，可在任中或离任时抽查审计1次，根据任职情况列入年度计划安排；也可以根据干部监督管理需要实行离任经济责任事项交接，在工作岗位变动或离任时办理离任交接手续。</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C类审计对象，原则上根据干部监督管理需要实行离任经济责任事项交接，在工作岗位变动或离任时办理离任交接手续。</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第七条</w:t>
      </w:r>
      <w:r>
        <w:rPr>
          <w:rFonts w:hint="eastAsia" w:ascii="仿宋_GB2312" w:hAnsi="仿宋_GB2312" w:eastAsia="仿宋_GB2312" w:cs="仿宋_GB2312"/>
          <w:color w:val="auto"/>
          <w:sz w:val="32"/>
          <w:szCs w:val="32"/>
        </w:rPr>
        <w:t xml:space="preserve"> 离任领导干部有下列情况之一，可不再安排经济责任审计，也不安排经济事项交接：</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（一）离任时距上次任中审计不足一年的；</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（二）已离开任职岗位两年以上的；</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（三）已定居国外或失踪、死亡的；</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（四）已被纪检监察机关或司法机关立案调查的；</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（五）影响经济责任审计独立公正实施的；</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（六）其他无法实施经济责任审计的。</w:t>
      </w:r>
    </w:p>
    <w:p>
      <w:pPr>
        <w:spacing w:line="360" w:lineRule="auto"/>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color w:val="auto"/>
          <w:sz w:val="32"/>
          <w:szCs w:val="32"/>
        </w:rPr>
        <w:t xml:space="preserve">第八条 </w:t>
      </w:r>
      <w:r>
        <w:rPr>
          <w:rFonts w:hint="eastAsia" w:ascii="仿宋_GB2312" w:hAnsi="仿宋_GB2312" w:eastAsia="仿宋_GB2312" w:cs="仿宋_GB2312"/>
          <w:color w:val="auto"/>
          <w:sz w:val="32"/>
          <w:szCs w:val="32"/>
        </w:rPr>
        <w:t>若存在以下情况之一的，</w:t>
      </w:r>
      <w:r>
        <w:rPr>
          <w:rFonts w:hint="eastAsia" w:ascii="仿宋_GB2312" w:hAnsi="仿宋_GB2312" w:eastAsia="仿宋_GB2312" w:cs="仿宋_GB2312"/>
          <w:color w:val="auto"/>
          <w:sz w:val="32"/>
          <w:szCs w:val="32"/>
        </w:rPr>
        <w:t>经</w:t>
      </w:r>
      <w:r>
        <w:rPr>
          <w:rFonts w:hint="eastAsia" w:ascii="仿宋_GB2312" w:hAnsi="仿宋_GB2312" w:eastAsia="仿宋_GB2312" w:cs="仿宋_GB2312"/>
          <w:color w:val="auto"/>
          <w:sz w:val="32"/>
          <w:szCs w:val="32"/>
          <w:lang w:val="en-US" w:eastAsia="zh-CN"/>
        </w:rPr>
        <w:t>审计委员会成员单位</w:t>
      </w:r>
      <w:r>
        <w:rPr>
          <w:rFonts w:hint="eastAsia" w:ascii="仿宋_GB2312" w:hAnsi="仿宋_GB2312" w:eastAsia="仿宋_GB2312" w:cs="仿宋_GB2312"/>
          <w:color w:val="auto"/>
          <w:sz w:val="32"/>
          <w:szCs w:val="32"/>
        </w:rPr>
        <w:t>会商</w:t>
      </w:r>
      <w:r>
        <w:rPr>
          <w:rFonts w:hint="eastAsia" w:ascii="仿宋_GB2312" w:hAnsi="仿宋_GB2312" w:eastAsia="仿宋_GB2312" w:cs="仿宋_GB2312"/>
          <w:color w:val="auto"/>
          <w:sz w:val="32"/>
          <w:szCs w:val="32"/>
        </w:rPr>
        <w:t>确定，可以提高审计频次，纳入经济责任审计项目年度计划。</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（一）离任交接不清的；</w:t>
      </w:r>
    </w:p>
    <w:p>
      <w:pPr>
        <w:spacing w:line="360" w:lineRule="auto"/>
        <w:ind w:left="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）群众对该单位执行财经纪律、财务公开有反映的；</w:t>
      </w:r>
    </w:p>
    <w:p>
      <w:pPr>
        <w:ind w:left="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（三）审计提出问题整改不到位的；</w:t>
      </w:r>
    </w:p>
    <w:p>
      <w:pPr>
        <w:ind w:left="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（四）学校认为需要实施审计的其他情况。</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第九条</w:t>
      </w:r>
      <w:r>
        <w:rPr>
          <w:rFonts w:hint="eastAsia" w:ascii="仿宋_GB2312" w:hAnsi="仿宋_GB2312" w:eastAsia="仿宋_GB2312" w:cs="仿宋_GB2312"/>
          <w:color w:val="auto"/>
          <w:sz w:val="32"/>
          <w:szCs w:val="32"/>
        </w:rPr>
        <w:t xml:space="preserve"> 本办法由党委审计工作委员会办公室、审计处负责解释。</w:t>
      </w:r>
    </w:p>
    <w:p>
      <w:pPr>
        <w:spacing w:line="360" w:lineRule="auto"/>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 xml:space="preserve">第十条 </w:t>
      </w:r>
      <w:r>
        <w:rPr>
          <w:rFonts w:hint="eastAsia" w:ascii="仿宋_GB2312" w:hAnsi="仿宋_GB2312" w:eastAsia="仿宋_GB2312" w:cs="仿宋_GB2312"/>
          <w:color w:val="auto"/>
          <w:sz w:val="32"/>
          <w:szCs w:val="32"/>
        </w:rPr>
        <w:t>本办法自</w:t>
      </w:r>
      <w:r>
        <w:rPr>
          <w:rFonts w:hint="eastAsia" w:ascii="仿宋_GB2312" w:hAnsi="仿宋_GB2312" w:eastAsia="仿宋_GB2312" w:cs="仿宋_GB2312"/>
          <w:color w:val="auto"/>
          <w:sz w:val="32"/>
          <w:szCs w:val="32"/>
          <w:lang w:val="en-US" w:eastAsia="zh-CN"/>
        </w:rPr>
        <w:t>发文</w:t>
      </w:r>
      <w:r>
        <w:rPr>
          <w:rFonts w:hint="eastAsia" w:ascii="仿宋_GB2312" w:hAnsi="仿宋_GB2312" w:eastAsia="仿宋_GB2312" w:cs="仿宋_GB2312"/>
          <w:color w:val="auto"/>
          <w:sz w:val="32"/>
          <w:szCs w:val="32"/>
        </w:rPr>
        <w:t>之日起实施。</w:t>
      </w:r>
      <w:r>
        <w:rPr>
          <w:rFonts w:hint="eastAsia" w:ascii="仿宋_GB2312" w:hAnsi="仿宋_GB2312" w:eastAsia="仿宋_GB2312" w:cs="仿宋_GB2312"/>
          <w:color w:val="auto"/>
          <w:sz w:val="32"/>
          <w:szCs w:val="32"/>
          <w:lang w:val="en-US" w:eastAsia="zh-CN"/>
        </w:rPr>
        <w:t>原</w:t>
      </w:r>
      <w:r>
        <w:rPr>
          <w:rFonts w:hint="eastAsia" w:ascii="仿宋_GB2312" w:hAnsi="仿宋_GB2312" w:eastAsia="仿宋_GB2312" w:cs="仿宋_GB2312"/>
          <w:color w:val="auto"/>
          <w:sz w:val="32"/>
          <w:szCs w:val="32"/>
        </w:rPr>
        <w:t>《云南民族大学领导干部经济责任审计对象分类管理办法》</w:t>
      </w:r>
      <w:r>
        <w:rPr>
          <w:rFonts w:hint="eastAsia" w:ascii="仿宋_GB2312" w:hAnsi="仿宋_GB2312" w:eastAsia="仿宋_GB2312" w:cs="仿宋_GB2312"/>
          <w:color w:val="auto"/>
          <w:sz w:val="32"/>
          <w:szCs w:val="32"/>
          <w:lang w:eastAsia="zh-CN"/>
        </w:rPr>
        <w:t>（云民大规〔</w:t>
      </w:r>
      <w:r>
        <w:rPr>
          <w:rFonts w:hint="eastAsia" w:ascii="仿宋_GB2312" w:hAnsi="仿宋_GB2312" w:eastAsia="仿宋_GB2312" w:cs="仿宋_GB2312"/>
          <w:color w:val="auto"/>
          <w:sz w:val="32"/>
          <w:szCs w:val="32"/>
          <w:lang w:val="en-US" w:eastAsia="zh-CN"/>
        </w:rPr>
        <w:t>2019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21号）</w:t>
      </w:r>
      <w:r>
        <w:rPr>
          <w:rFonts w:hint="eastAsia" w:ascii="仿宋_GB2312" w:hAnsi="仿宋_GB2312" w:eastAsia="仿宋_GB2312" w:cs="仿宋_GB2312"/>
          <w:color w:val="auto"/>
          <w:sz w:val="32"/>
          <w:szCs w:val="32"/>
        </w:rPr>
        <w:t>同时废止。</w:t>
      </w:r>
    </w:p>
    <w:p>
      <w:pPr>
        <w:spacing w:line="360" w:lineRule="auto"/>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第十一条</w:t>
      </w:r>
      <w:r>
        <w:rPr>
          <w:rFonts w:hint="eastAsia" w:ascii="仿宋_GB2312" w:hAnsi="仿宋_GB2312" w:eastAsia="仿宋_GB2312" w:cs="仿宋_GB2312"/>
          <w:color w:val="auto"/>
          <w:sz w:val="32"/>
          <w:szCs w:val="32"/>
          <w:lang w:val="en-US" w:eastAsia="zh-CN"/>
        </w:rPr>
        <w:t xml:space="preserve"> 本办法所涉及的内容，如与现行有效的法律、法规存在冲突的，以现行有效的法律、法规规定为准。</w:t>
      </w:r>
    </w:p>
    <w:p>
      <w:pPr>
        <w:spacing w:line="360" w:lineRule="auto"/>
        <w:ind w:firstLine="640" w:firstLineChars="200"/>
        <w:rPr>
          <w:rFonts w:hint="eastAsia" w:ascii="仿宋_GB2312" w:hAnsi="仿宋_GB2312" w:eastAsia="仿宋_GB2312" w:cs="仿宋_GB2312"/>
          <w:color w:val="auto"/>
          <w:sz w:val="32"/>
          <w:szCs w:val="32"/>
        </w:rPr>
      </w:pPr>
    </w:p>
    <w:p>
      <w:pPr>
        <w:spacing w:line="360" w:lineRule="auto"/>
        <w:ind w:firstLine="480" w:firstLineChars="200"/>
        <w:rPr>
          <w:rFonts w:ascii="Times New Roman" w:hAnsi="Times New Roman"/>
          <w:color w:val="auto"/>
          <w:sz w:val="24"/>
        </w:rPr>
      </w:pPr>
    </w:p>
    <w:p>
      <w:pPr>
        <w:rPr>
          <w:color w:val="auto"/>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5OWQ0MTMxMTM0OWZkNzVjNmFiZmI2MmMxODQxZDEifQ=="/>
  </w:docVars>
  <w:rsids>
    <w:rsidRoot w:val="468B4BD5"/>
    <w:rsid w:val="00001037"/>
    <w:rsid w:val="0005384A"/>
    <w:rsid w:val="000A3807"/>
    <w:rsid w:val="000B29E5"/>
    <w:rsid w:val="001B37FE"/>
    <w:rsid w:val="001C1811"/>
    <w:rsid w:val="00205661"/>
    <w:rsid w:val="00205DE2"/>
    <w:rsid w:val="00225E4F"/>
    <w:rsid w:val="00241B2B"/>
    <w:rsid w:val="00273ED7"/>
    <w:rsid w:val="002742D7"/>
    <w:rsid w:val="002919BC"/>
    <w:rsid w:val="002B5529"/>
    <w:rsid w:val="002F49BE"/>
    <w:rsid w:val="00301C2C"/>
    <w:rsid w:val="00305248"/>
    <w:rsid w:val="00364A74"/>
    <w:rsid w:val="003816C0"/>
    <w:rsid w:val="00385B6C"/>
    <w:rsid w:val="003963F2"/>
    <w:rsid w:val="00396B56"/>
    <w:rsid w:val="003C0244"/>
    <w:rsid w:val="003C7B1B"/>
    <w:rsid w:val="00416A9A"/>
    <w:rsid w:val="00432546"/>
    <w:rsid w:val="0049046C"/>
    <w:rsid w:val="00491CBA"/>
    <w:rsid w:val="004C5950"/>
    <w:rsid w:val="0053520B"/>
    <w:rsid w:val="00536940"/>
    <w:rsid w:val="0058007E"/>
    <w:rsid w:val="005D0795"/>
    <w:rsid w:val="005F28EE"/>
    <w:rsid w:val="00610F58"/>
    <w:rsid w:val="00672130"/>
    <w:rsid w:val="006C6C30"/>
    <w:rsid w:val="007F689C"/>
    <w:rsid w:val="0080542F"/>
    <w:rsid w:val="008725D4"/>
    <w:rsid w:val="0089636C"/>
    <w:rsid w:val="008A4835"/>
    <w:rsid w:val="008B19A6"/>
    <w:rsid w:val="008B2639"/>
    <w:rsid w:val="008C6F0B"/>
    <w:rsid w:val="008E0EC8"/>
    <w:rsid w:val="009514CE"/>
    <w:rsid w:val="00951B78"/>
    <w:rsid w:val="00957F69"/>
    <w:rsid w:val="00990C90"/>
    <w:rsid w:val="009F412C"/>
    <w:rsid w:val="00A17D91"/>
    <w:rsid w:val="00A3677E"/>
    <w:rsid w:val="00A73CA7"/>
    <w:rsid w:val="00A93E0E"/>
    <w:rsid w:val="00AA26FD"/>
    <w:rsid w:val="00AB5C1D"/>
    <w:rsid w:val="00AC4667"/>
    <w:rsid w:val="00B10808"/>
    <w:rsid w:val="00B11E5F"/>
    <w:rsid w:val="00B53711"/>
    <w:rsid w:val="00B91DBF"/>
    <w:rsid w:val="00BC7248"/>
    <w:rsid w:val="00C668E8"/>
    <w:rsid w:val="00C6708E"/>
    <w:rsid w:val="00C7295D"/>
    <w:rsid w:val="00C97B58"/>
    <w:rsid w:val="00CB5F04"/>
    <w:rsid w:val="00CF60FE"/>
    <w:rsid w:val="00D05980"/>
    <w:rsid w:val="00D3519C"/>
    <w:rsid w:val="00D8488F"/>
    <w:rsid w:val="00DE1BD3"/>
    <w:rsid w:val="00E15604"/>
    <w:rsid w:val="00E604AB"/>
    <w:rsid w:val="00E704F5"/>
    <w:rsid w:val="00E9443D"/>
    <w:rsid w:val="00EB1F71"/>
    <w:rsid w:val="00FC56EA"/>
    <w:rsid w:val="00FC5857"/>
    <w:rsid w:val="00FD4BAB"/>
    <w:rsid w:val="01226984"/>
    <w:rsid w:val="014764A5"/>
    <w:rsid w:val="03965E35"/>
    <w:rsid w:val="03D1093C"/>
    <w:rsid w:val="03FD4132"/>
    <w:rsid w:val="06E105F8"/>
    <w:rsid w:val="0A8D1A2D"/>
    <w:rsid w:val="0B894A97"/>
    <w:rsid w:val="0CD94AB1"/>
    <w:rsid w:val="0CDA726F"/>
    <w:rsid w:val="0DDB2D09"/>
    <w:rsid w:val="156B7CCE"/>
    <w:rsid w:val="197F1CDE"/>
    <w:rsid w:val="1C32563C"/>
    <w:rsid w:val="242F4E9F"/>
    <w:rsid w:val="279165F1"/>
    <w:rsid w:val="27960893"/>
    <w:rsid w:val="28302479"/>
    <w:rsid w:val="29DD03DE"/>
    <w:rsid w:val="2DA52FC1"/>
    <w:rsid w:val="307F2ED3"/>
    <w:rsid w:val="314D6E2A"/>
    <w:rsid w:val="331512D1"/>
    <w:rsid w:val="34DA6701"/>
    <w:rsid w:val="360008E6"/>
    <w:rsid w:val="36242821"/>
    <w:rsid w:val="3DA23079"/>
    <w:rsid w:val="3F655904"/>
    <w:rsid w:val="3FD87226"/>
    <w:rsid w:val="406F25EE"/>
    <w:rsid w:val="411A7436"/>
    <w:rsid w:val="42F27D13"/>
    <w:rsid w:val="434111C9"/>
    <w:rsid w:val="438F30DC"/>
    <w:rsid w:val="43D61CCF"/>
    <w:rsid w:val="44B30081"/>
    <w:rsid w:val="464F0423"/>
    <w:rsid w:val="46753A21"/>
    <w:rsid w:val="468B4BD5"/>
    <w:rsid w:val="48B71279"/>
    <w:rsid w:val="493713F6"/>
    <w:rsid w:val="4DDE377E"/>
    <w:rsid w:val="4F8E4EF7"/>
    <w:rsid w:val="52CD6077"/>
    <w:rsid w:val="54DA0E80"/>
    <w:rsid w:val="596F42F4"/>
    <w:rsid w:val="5AE40D1D"/>
    <w:rsid w:val="5C8718B5"/>
    <w:rsid w:val="5CCA2F37"/>
    <w:rsid w:val="5D2A17E9"/>
    <w:rsid w:val="60DF3A58"/>
    <w:rsid w:val="61434884"/>
    <w:rsid w:val="61A94DC8"/>
    <w:rsid w:val="623B1389"/>
    <w:rsid w:val="6559320F"/>
    <w:rsid w:val="6DAC2237"/>
    <w:rsid w:val="73DA3E0F"/>
    <w:rsid w:val="74031DAF"/>
    <w:rsid w:val="747F25E7"/>
    <w:rsid w:val="7801469B"/>
    <w:rsid w:val="788A0834"/>
    <w:rsid w:val="79007546"/>
    <w:rsid w:val="7AA92188"/>
    <w:rsid w:val="7CA06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8"/>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批注框文本 字符"/>
    <w:basedOn w:val="7"/>
    <w:link w:val="3"/>
    <w:qFormat/>
    <w:uiPriority w:val="0"/>
    <w:rPr>
      <w:rFonts w:ascii="Calibri" w:hAnsi="Calibri"/>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3</Pages>
  <Words>1271</Words>
  <Characters>1283</Characters>
  <Lines>8</Lines>
  <Paragraphs>2</Paragraphs>
  <TotalTime>1</TotalTime>
  <ScaleCrop>false</ScaleCrop>
  <LinksUpToDate>false</LinksUpToDate>
  <CharactersWithSpaces>1294</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2022-04-28T07:10:00Z</dcterms:created>
  <dc:creator>Fu Dong</dc:creator>
  <cp:lastModifiedBy>Fu Dong</cp:lastModifiedBy>
  <cp:lastPrinted>2022-10-26T05:53:00Z</cp:lastPrinted>
  <dcterms:modified xsi:type="dcterms:W3CDTF">2022-11-28T10:30:10Z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4C9FA03AE8E749898E9FC19F1D4E828F</vt:lpwstr>
  </property>
</Properties>
</file>