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附件5</w:t>
      </w:r>
    </w:p>
    <w:p>
      <w:pPr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云南民族大学领导干部离任经济事项交接说明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现承诺对所提供的离任经济事项交接有关数据和资料的真实性、完整性负责，并将相关情况作如下说明：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1.介绍离任领导干部个人任职时间和分工负责的范围，概要介绍其上任后确定的工作目标及实现情况。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2.概要介绍离任领导干部任职期末重要经济事项的决策及执行情况，包括重要的建设项目、重大的资金安排和投资、资产出租出借等。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3.重点说明尚未完成的重要工作事项，包括建设中的重要项目，尚未解决的经济纠纷或历史遗留问题，正在执行的经济合同，以及正在进行的行政复议、行政诉讼等，可以对下步工作提出意见建议。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4.离任领导干部个人保管和使用、借用的公物、公款情况等。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5.任职期末部门可用资金及其他重要资源情况。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6.其他需要说明和交接的事项。</w:t>
      </w: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单位（盖章）：                离任领导干部（签名）：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                       日期：</w:t>
      </w:r>
    </w:p>
    <w:p>
      <w:pPr>
        <w:rPr>
          <w:rFonts w:ascii="仿宋" w:hAnsi="仿宋" w:eastAsia="仿宋" w:cs="仿宋"/>
          <w:sz w:val="28"/>
          <w:szCs w:val="28"/>
        </w:rPr>
      </w:pPr>
    </w:p>
    <w:p>
      <w:pPr>
        <w:tabs>
          <w:tab w:val="left" w:pos="783"/>
        </w:tabs>
        <w:jc w:val="left"/>
        <w:rPr>
          <w:rFonts w:ascii="仿宋" w:hAnsi="仿宋" w:eastAsia="仿宋" w:cs="仿宋"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17437"/>
    <w:rsid w:val="6A91743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其他...</Company>
  <Pages>1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2019-12-25T01:21:00Z</dcterms:created>
  <dc:creator>lishuang</dc:creator>
  <cp:lastModifiedBy>lishuang</cp:lastModifiedBy>
  <dcterms:modified xsi:type="dcterms:W3CDTF">2019-12-25T01:21:30Z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