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1F" w:rsidRDefault="001C4B03" w:rsidP="001C4B03">
      <w:pPr>
        <w:jc w:val="center"/>
        <w:rPr>
          <w:b/>
          <w:sz w:val="36"/>
          <w:szCs w:val="36"/>
        </w:rPr>
      </w:pPr>
      <w:r w:rsidRPr="001C4B03">
        <w:rPr>
          <w:rFonts w:hint="eastAsia"/>
          <w:b/>
          <w:sz w:val="36"/>
          <w:szCs w:val="36"/>
        </w:rPr>
        <w:t>资产</w:t>
      </w:r>
      <w:r>
        <w:rPr>
          <w:rFonts w:hint="eastAsia"/>
          <w:b/>
          <w:sz w:val="36"/>
          <w:szCs w:val="36"/>
        </w:rPr>
        <w:t>入库</w:t>
      </w:r>
      <w:r w:rsidRPr="001C4B03">
        <w:rPr>
          <w:rFonts w:hint="eastAsia"/>
          <w:b/>
          <w:sz w:val="36"/>
          <w:szCs w:val="36"/>
        </w:rPr>
        <w:t>流程</w:t>
      </w:r>
    </w:p>
    <w:p w:rsidR="00C62CE3" w:rsidRDefault="00C62CE3" w:rsidP="001C4B03">
      <w:pPr>
        <w:jc w:val="center"/>
        <w:rPr>
          <w:b/>
          <w:sz w:val="36"/>
          <w:szCs w:val="36"/>
        </w:rPr>
      </w:pPr>
    </w:p>
    <w:p w:rsidR="001C4B03" w:rsidRPr="00827A80" w:rsidRDefault="00736717" w:rsidP="00736717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请各院系的资产管理员</w:t>
      </w:r>
      <w:r w:rsidRPr="00736717">
        <w:rPr>
          <w:rFonts w:hint="eastAsia"/>
          <w:sz w:val="24"/>
          <w:szCs w:val="24"/>
        </w:rPr>
        <w:t>提供工号和姓名以及</w:t>
      </w:r>
      <w:r>
        <w:rPr>
          <w:rFonts w:hint="eastAsia"/>
          <w:sz w:val="24"/>
          <w:szCs w:val="24"/>
        </w:rPr>
        <w:t>所属</w:t>
      </w:r>
      <w:r w:rsidRPr="00736717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或部门到资产处，以供注册使用账号后</w:t>
      </w:r>
      <w:r w:rsidR="001C4B03" w:rsidRPr="00827A80">
        <w:rPr>
          <w:rFonts w:hint="eastAsia"/>
          <w:sz w:val="24"/>
          <w:szCs w:val="24"/>
        </w:rPr>
        <w:t>使用；</w:t>
      </w:r>
    </w:p>
    <w:p w:rsidR="00C62CE3" w:rsidRPr="00827A80" w:rsidRDefault="00C62CE3" w:rsidP="00C62CE3">
      <w:pPr>
        <w:pStyle w:val="a4"/>
        <w:ind w:left="360" w:firstLineChars="0" w:firstLine="0"/>
        <w:rPr>
          <w:sz w:val="24"/>
          <w:szCs w:val="24"/>
        </w:rPr>
      </w:pPr>
    </w:p>
    <w:p w:rsidR="001C4B03" w:rsidRPr="00827A80" w:rsidRDefault="001C4B03" w:rsidP="001C4B03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827A80">
        <w:rPr>
          <w:rFonts w:hint="eastAsia"/>
          <w:sz w:val="24"/>
          <w:szCs w:val="24"/>
        </w:rPr>
        <w:t>使用已注册账号登录资产管理系统进行入账；</w:t>
      </w:r>
      <w:r w:rsidR="00410545" w:rsidRPr="00827A80">
        <w:rPr>
          <w:rFonts w:hint="eastAsia"/>
          <w:sz w:val="24"/>
          <w:szCs w:val="24"/>
        </w:rPr>
        <w:t>网址如下：</w:t>
      </w:r>
    </w:p>
    <w:p w:rsidR="001C4B03" w:rsidRPr="00827A80" w:rsidRDefault="001611A2" w:rsidP="00410545">
      <w:pPr>
        <w:pStyle w:val="a4"/>
        <w:ind w:left="360" w:firstLineChars="0" w:firstLine="0"/>
        <w:rPr>
          <w:sz w:val="24"/>
          <w:szCs w:val="24"/>
        </w:rPr>
      </w:pPr>
      <w:hyperlink r:id="rId8" w:history="1">
        <w:r w:rsidR="001C4B03" w:rsidRPr="00827A80">
          <w:rPr>
            <w:rStyle w:val="a5"/>
            <w:sz w:val="24"/>
            <w:szCs w:val="24"/>
          </w:rPr>
          <w:t>http://192.168.10.231/sbk2000_8.5/PlatForm.aspx</w:t>
        </w:r>
      </w:hyperlink>
    </w:p>
    <w:p w:rsidR="00C62CE3" w:rsidRPr="00827A80" w:rsidRDefault="00C62CE3" w:rsidP="00410545">
      <w:pPr>
        <w:pStyle w:val="a4"/>
        <w:ind w:left="360" w:firstLineChars="0" w:firstLine="0"/>
        <w:rPr>
          <w:sz w:val="24"/>
          <w:szCs w:val="24"/>
        </w:rPr>
      </w:pPr>
    </w:p>
    <w:p w:rsidR="00410545" w:rsidRPr="00827A80" w:rsidRDefault="00410545" w:rsidP="0041054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827A80">
        <w:rPr>
          <w:rFonts w:hint="eastAsia"/>
          <w:sz w:val="24"/>
          <w:szCs w:val="24"/>
        </w:rPr>
        <w:t>选择资产管理系统，如图</w:t>
      </w:r>
    </w:p>
    <w:p w:rsidR="00410545" w:rsidRPr="00827A80" w:rsidRDefault="00410545" w:rsidP="00410545">
      <w:pPr>
        <w:pStyle w:val="a4"/>
        <w:ind w:left="360" w:firstLineChars="0" w:firstLine="0"/>
        <w:rPr>
          <w:sz w:val="24"/>
          <w:szCs w:val="24"/>
        </w:rPr>
      </w:pPr>
      <w:r w:rsidRPr="00827A80">
        <w:rPr>
          <w:noProof/>
          <w:sz w:val="24"/>
          <w:szCs w:val="24"/>
        </w:rPr>
        <w:drawing>
          <wp:inline distT="0" distB="0" distL="0" distR="0" wp14:anchorId="54297445" wp14:editId="555E580D">
            <wp:extent cx="5274310" cy="38495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E3" w:rsidRPr="00827A80" w:rsidRDefault="00C62CE3" w:rsidP="00410545">
      <w:pPr>
        <w:pStyle w:val="a4"/>
        <w:ind w:left="360" w:firstLineChars="0" w:firstLine="0"/>
        <w:rPr>
          <w:sz w:val="24"/>
          <w:szCs w:val="24"/>
        </w:rPr>
      </w:pPr>
    </w:p>
    <w:p w:rsidR="00C62CE3" w:rsidRPr="00827A80" w:rsidRDefault="00410545" w:rsidP="00C62CE3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827A80">
        <w:rPr>
          <w:rFonts w:hint="eastAsia"/>
          <w:sz w:val="24"/>
          <w:szCs w:val="24"/>
        </w:rPr>
        <w:t>选择左侧栏的资产入账</w:t>
      </w:r>
      <w:r w:rsidR="00C62CE3" w:rsidRPr="00827A80">
        <w:rPr>
          <w:rFonts w:hint="eastAsia"/>
          <w:sz w:val="24"/>
          <w:szCs w:val="24"/>
        </w:rPr>
        <w:t>管理，点击新建验收单；</w:t>
      </w:r>
    </w:p>
    <w:p w:rsidR="00410545" w:rsidRPr="00827A80" w:rsidRDefault="00C62CE3" w:rsidP="00C62CE3">
      <w:pPr>
        <w:pStyle w:val="a4"/>
        <w:ind w:left="360" w:firstLineChars="0" w:firstLine="0"/>
        <w:rPr>
          <w:noProof/>
          <w:sz w:val="24"/>
          <w:szCs w:val="24"/>
        </w:rPr>
      </w:pPr>
      <w:r w:rsidRPr="00827A80">
        <w:rPr>
          <w:noProof/>
          <w:sz w:val="24"/>
          <w:szCs w:val="24"/>
        </w:rPr>
        <w:t xml:space="preserve"> </w:t>
      </w:r>
      <w:r w:rsidRPr="00827A80">
        <w:rPr>
          <w:noProof/>
          <w:sz w:val="24"/>
          <w:szCs w:val="24"/>
        </w:rPr>
        <w:drawing>
          <wp:inline distT="0" distB="0" distL="0" distR="0" wp14:anchorId="1F64D486" wp14:editId="7A39DE6F">
            <wp:extent cx="3924300" cy="2056441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5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E3" w:rsidRPr="00827A80" w:rsidRDefault="00C62CE3" w:rsidP="00C62CE3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827A80">
        <w:rPr>
          <w:rFonts w:hint="eastAsia"/>
          <w:sz w:val="24"/>
          <w:szCs w:val="24"/>
        </w:rPr>
        <w:lastRenderedPageBreak/>
        <w:t>将会出现资产明细，选择对应资产明细；</w:t>
      </w:r>
    </w:p>
    <w:p w:rsidR="00C62CE3" w:rsidRDefault="00C62CE3" w:rsidP="00410545">
      <w:pPr>
        <w:pStyle w:val="a4"/>
        <w:ind w:left="360" w:firstLineChars="0" w:firstLine="0"/>
        <w:rPr>
          <w:sz w:val="24"/>
          <w:szCs w:val="24"/>
        </w:rPr>
      </w:pPr>
      <w:r w:rsidRPr="00827A80">
        <w:rPr>
          <w:noProof/>
          <w:sz w:val="24"/>
          <w:szCs w:val="24"/>
        </w:rPr>
        <w:drawing>
          <wp:inline distT="0" distB="0" distL="0" distR="0" wp14:anchorId="19174CA6" wp14:editId="2DE44D9A">
            <wp:extent cx="5274310" cy="2588929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80" w:rsidRPr="00827A80" w:rsidRDefault="00827A80" w:rsidP="00410545">
      <w:pPr>
        <w:pStyle w:val="a4"/>
        <w:ind w:left="360" w:firstLineChars="0" w:firstLine="0"/>
        <w:rPr>
          <w:sz w:val="24"/>
          <w:szCs w:val="24"/>
        </w:rPr>
      </w:pPr>
    </w:p>
    <w:p w:rsidR="000E04F7" w:rsidRPr="00827A80" w:rsidRDefault="000E04F7" w:rsidP="000E04F7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827A80">
        <w:rPr>
          <w:rFonts w:hint="eastAsia"/>
          <w:sz w:val="24"/>
          <w:szCs w:val="24"/>
        </w:rPr>
        <w:t>这里以设备、家具、图书为例作为说明：</w:t>
      </w:r>
    </w:p>
    <w:p w:rsidR="000E04F7" w:rsidRPr="00827A80" w:rsidRDefault="00827A80" w:rsidP="000E04F7">
      <w:pPr>
        <w:pStyle w:val="a4"/>
        <w:ind w:left="360" w:firstLineChars="0" w:firstLine="0"/>
        <w:rPr>
          <w:sz w:val="24"/>
          <w:szCs w:val="24"/>
        </w:rPr>
      </w:pPr>
      <w:r w:rsidRPr="00827A80">
        <w:rPr>
          <w:rFonts w:hint="eastAsia"/>
          <w:sz w:val="24"/>
          <w:szCs w:val="24"/>
        </w:rPr>
        <w:t>设备：</w:t>
      </w:r>
    </w:p>
    <w:p w:rsidR="00827A80" w:rsidRDefault="00827A80" w:rsidP="000E04F7">
      <w:pPr>
        <w:pStyle w:val="a4"/>
        <w:ind w:left="360" w:firstLineChars="0" w:firstLine="0"/>
        <w:rPr>
          <w:sz w:val="24"/>
          <w:szCs w:val="24"/>
        </w:rPr>
      </w:pPr>
      <w:r w:rsidRPr="00827A80">
        <w:rPr>
          <w:noProof/>
          <w:sz w:val="24"/>
          <w:szCs w:val="24"/>
        </w:rPr>
        <w:drawing>
          <wp:inline distT="0" distB="0" distL="0" distR="0" wp14:anchorId="2A81E9DC" wp14:editId="54F55963">
            <wp:extent cx="4981575" cy="246483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2637" cy="24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7D2" w:rsidRDefault="00C507D2" w:rsidP="000E04F7">
      <w:pPr>
        <w:pStyle w:val="a4"/>
        <w:ind w:left="360" w:firstLineChars="0" w:firstLine="0"/>
        <w:rPr>
          <w:sz w:val="24"/>
          <w:szCs w:val="24"/>
        </w:rPr>
      </w:pPr>
    </w:p>
    <w:p w:rsidR="00C507D2" w:rsidRDefault="00C507D2" w:rsidP="00C507D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选择添加资产信息，将会出现下图析产管理卡片，在</w:t>
      </w:r>
      <w:r w:rsidRPr="00827A80">
        <w:rPr>
          <w:rFonts w:hint="eastAsia"/>
          <w:sz w:val="24"/>
          <w:szCs w:val="24"/>
        </w:rPr>
        <w:t>资产管理卡片中，选择资产名称，如计算机，</w:t>
      </w:r>
      <w:r w:rsidRPr="00777B6F">
        <w:rPr>
          <w:rFonts w:hint="eastAsia"/>
          <w:b/>
          <w:sz w:val="30"/>
          <w:szCs w:val="30"/>
        </w:rPr>
        <w:t>按回车键</w:t>
      </w:r>
      <w:r w:rsidRPr="00827A80">
        <w:rPr>
          <w:rFonts w:hint="eastAsia"/>
          <w:sz w:val="24"/>
          <w:szCs w:val="24"/>
        </w:rPr>
        <w:t>会出现选项，如图所示，选择计算机</w:t>
      </w:r>
      <w:r>
        <w:rPr>
          <w:rFonts w:hint="eastAsia"/>
          <w:sz w:val="24"/>
          <w:szCs w:val="24"/>
        </w:rPr>
        <w:t>或对应的资产信息。选中后，</w:t>
      </w:r>
      <w:r w:rsidRPr="00827A80">
        <w:rPr>
          <w:rFonts w:hint="eastAsia"/>
          <w:sz w:val="24"/>
          <w:szCs w:val="24"/>
        </w:rPr>
        <w:t>则系统会根据资产名称自动填写其余国资号，分类号，国资分类号，以及使用年限和保修年限。</w:t>
      </w:r>
    </w:p>
    <w:p w:rsidR="00C507D2" w:rsidRPr="00C507D2" w:rsidRDefault="00C507D2" w:rsidP="00C507D2">
      <w:pPr>
        <w:pStyle w:val="a4"/>
        <w:ind w:left="360" w:firstLineChars="0" w:firstLine="0"/>
        <w:rPr>
          <w:sz w:val="24"/>
          <w:szCs w:val="24"/>
        </w:rPr>
      </w:pPr>
    </w:p>
    <w:p w:rsidR="00C507D2" w:rsidRPr="00C507D2" w:rsidRDefault="00C507D2" w:rsidP="00C507D2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计算机，打印机，投影机等这些都属于设备类；图书属于图书类别；柜子，桌椅等则录入家具类。</w:t>
      </w:r>
    </w:p>
    <w:p w:rsidR="00827A80" w:rsidRDefault="00827A80" w:rsidP="000E04F7">
      <w:pPr>
        <w:pStyle w:val="a4"/>
        <w:ind w:left="360" w:firstLineChars="0" w:firstLine="0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、</w:t>
      </w:r>
      <w:r>
        <w:rPr>
          <w:noProof/>
        </w:rPr>
        <w:drawing>
          <wp:inline distT="0" distB="0" distL="0" distR="0" wp14:anchorId="76614D31" wp14:editId="0DDB35CF">
            <wp:extent cx="4314825" cy="34109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4534" cy="341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80" w:rsidRDefault="00827A80" w:rsidP="000E04F7">
      <w:pPr>
        <w:pStyle w:val="a4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54C25CF" wp14:editId="65535282">
            <wp:extent cx="4867275" cy="4111833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5084" cy="410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80" w:rsidRDefault="00C95B73" w:rsidP="00C95B73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号为必填项，仪器来源可选择“购置”，“捐赠”“自制”“校外调入”，经费来源共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项，常用的一般为“教育”与“科研”；输入“单价”“数量”，则总金额会自动计算；现状一般为“在用”；</w:t>
      </w:r>
      <w:r>
        <w:rPr>
          <w:rFonts w:hint="eastAsia"/>
          <w:sz w:val="28"/>
          <w:szCs w:val="28"/>
        </w:rPr>
        <w:lastRenderedPageBreak/>
        <w:t>“使用方向”也分为“教学”“科研”“行政”等，根据实际情况填写，一般与经费来源对应。供货商为发票开具方，有合同的则为合同乙方，存放地点也为必填项。合同编号，有合同的为</w:t>
      </w:r>
      <w:r>
        <w:rPr>
          <w:rFonts w:hint="eastAsia"/>
          <w:sz w:val="28"/>
          <w:szCs w:val="28"/>
        </w:rPr>
        <w:t>YMU+</w:t>
      </w:r>
      <w:r>
        <w:rPr>
          <w:rFonts w:hint="eastAsia"/>
          <w:sz w:val="28"/>
          <w:szCs w:val="28"/>
        </w:rPr>
        <w:t>年份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合同号，格式如：</w:t>
      </w:r>
      <w:r>
        <w:rPr>
          <w:rFonts w:hint="eastAsia"/>
          <w:sz w:val="28"/>
          <w:szCs w:val="28"/>
        </w:rPr>
        <w:t>YMU201501</w:t>
      </w:r>
      <w:r>
        <w:rPr>
          <w:rFonts w:hint="eastAsia"/>
          <w:sz w:val="28"/>
          <w:szCs w:val="28"/>
        </w:rPr>
        <w:t>；个人购置无合同则填写“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”；</w:t>
      </w:r>
    </w:p>
    <w:p w:rsidR="00346294" w:rsidRDefault="00346294" w:rsidP="00346294">
      <w:pPr>
        <w:pStyle w:val="a4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领用人和部门主管也是必填；如有特殊情况需要说明的，可在备注中说明。也可添加附加，如音响的音响线材等可作为附件录入。</w:t>
      </w:r>
      <w:r w:rsidR="007F2DAE">
        <w:rPr>
          <w:rFonts w:hint="eastAsia"/>
          <w:sz w:val="28"/>
          <w:szCs w:val="28"/>
        </w:rPr>
        <w:t>如果存在多条数据，可选择复制上一条数据（图书</w:t>
      </w:r>
      <w:proofErr w:type="gramStart"/>
      <w:r w:rsidR="007F2DAE">
        <w:rPr>
          <w:rFonts w:hint="eastAsia"/>
          <w:sz w:val="28"/>
          <w:szCs w:val="28"/>
        </w:rPr>
        <w:t>截</w:t>
      </w:r>
      <w:proofErr w:type="gramEnd"/>
      <w:r w:rsidR="007F2DAE">
        <w:rPr>
          <w:rFonts w:hint="eastAsia"/>
          <w:sz w:val="28"/>
          <w:szCs w:val="28"/>
        </w:rPr>
        <w:t>图左上角）</w:t>
      </w:r>
    </w:p>
    <w:p w:rsidR="0066280C" w:rsidRDefault="00C95B73" w:rsidP="00C95B7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04B65A8" wp14:editId="2787C0A4">
            <wp:extent cx="5274310" cy="417671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DAE" w:rsidRDefault="007F2DAE" w:rsidP="00C95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图书</w:t>
      </w:r>
      <w:proofErr w:type="gramStart"/>
      <w:r>
        <w:rPr>
          <w:rFonts w:hint="eastAsia"/>
          <w:sz w:val="28"/>
          <w:szCs w:val="28"/>
        </w:rPr>
        <w:t>类如下</w:t>
      </w:r>
      <w:proofErr w:type="gramEnd"/>
      <w:r>
        <w:rPr>
          <w:rFonts w:hint="eastAsia"/>
          <w:sz w:val="28"/>
          <w:szCs w:val="28"/>
        </w:rPr>
        <w:t>图所示，请注意，经费来源，国别领用人和部门主管也属于必填项，</w:t>
      </w:r>
      <w:proofErr w:type="gramStart"/>
      <w:r>
        <w:rPr>
          <w:rFonts w:hint="eastAsia"/>
          <w:sz w:val="28"/>
          <w:szCs w:val="28"/>
        </w:rPr>
        <w:t>其余和</w:t>
      </w:r>
      <w:proofErr w:type="gramEnd"/>
      <w:r>
        <w:rPr>
          <w:rFonts w:hint="eastAsia"/>
          <w:sz w:val="28"/>
          <w:szCs w:val="28"/>
        </w:rPr>
        <w:t>设备填报相似。</w:t>
      </w:r>
    </w:p>
    <w:p w:rsidR="0066280C" w:rsidRDefault="007F2DAE" w:rsidP="007F2DA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160B64" wp14:editId="41BFB9F8">
            <wp:extent cx="5274310" cy="33391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DAE" w:rsidRDefault="007F2DAE" w:rsidP="007F2D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家具范例如下，规格型号管理人也需要填写。</w:t>
      </w:r>
    </w:p>
    <w:p w:rsidR="007F2DAE" w:rsidRDefault="007F2DAE" w:rsidP="007F2DA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B671A8" wp14:editId="49F2831C">
            <wp:extent cx="5274310" cy="3195719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DAE" w:rsidRDefault="007F2DAE" w:rsidP="007F2DAE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在录入过程中，资产名称需要找到分类大项，如计算机，柜橱箱，以</w:t>
      </w:r>
      <w:proofErr w:type="gramStart"/>
      <w:r>
        <w:rPr>
          <w:rFonts w:hint="eastAsia"/>
          <w:color w:val="FF0000"/>
          <w:sz w:val="28"/>
          <w:szCs w:val="28"/>
        </w:rPr>
        <w:t>确认国</w:t>
      </w:r>
      <w:proofErr w:type="gramEnd"/>
      <w:r>
        <w:rPr>
          <w:rFonts w:hint="eastAsia"/>
          <w:color w:val="FF0000"/>
          <w:sz w:val="28"/>
          <w:szCs w:val="28"/>
        </w:rPr>
        <w:t>资分类号和分类号等，然后需要手动修改</w:t>
      </w:r>
      <w:proofErr w:type="gramStart"/>
      <w:r>
        <w:rPr>
          <w:rFonts w:hint="eastAsia"/>
          <w:color w:val="FF0000"/>
          <w:sz w:val="28"/>
          <w:szCs w:val="28"/>
        </w:rPr>
        <w:t>回设备</w:t>
      </w:r>
      <w:proofErr w:type="gramEnd"/>
      <w:r>
        <w:rPr>
          <w:rFonts w:hint="eastAsia"/>
          <w:color w:val="FF0000"/>
          <w:sz w:val="28"/>
          <w:szCs w:val="28"/>
        </w:rPr>
        <w:t>具体的名称。</w:t>
      </w:r>
    </w:p>
    <w:p w:rsidR="007F2DAE" w:rsidRDefault="007F2DAE" w:rsidP="007F2DAE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比如软件类，需要搜索“计算机”，找到“计算机系统”，确认其分类号等，再手动修改资产名称为“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color w:val="FF0000"/>
          <w:sz w:val="28"/>
          <w:szCs w:val="28"/>
        </w:rPr>
        <w:t>软件”。</w:t>
      </w:r>
    </w:p>
    <w:p w:rsidR="000E5A95" w:rsidRPr="000E5A95" w:rsidRDefault="000E5A95" w:rsidP="000E5A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2D7E2E" wp14:editId="213D4ECD">
            <wp:extent cx="5274310" cy="1459592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BD03F15" wp14:editId="7F10F5CC">
            <wp:extent cx="3438525" cy="1047750"/>
            <wp:effectExtent l="0" t="0" r="9525" b="0"/>
            <wp:docPr id="10" name="图片 10" descr="C:\Users\dell\AppData\Roaming\Tencent\Users\2059677551\QQ\WinTemp\RichOle\YFYY%JRDDY5``XW})SEOM%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2059677551\QQ\WinTemp\RichOle\YFYY%JRDDY5``XW})SEOM%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95" w:rsidRDefault="000E5A95" w:rsidP="007F2DAE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请于左上角修改个人密码。</w:t>
      </w:r>
      <w:r w:rsidR="004B4233">
        <w:rPr>
          <w:rFonts w:hint="eastAsia"/>
          <w:color w:val="FF0000"/>
          <w:sz w:val="28"/>
          <w:szCs w:val="28"/>
        </w:rPr>
        <w:t>初始密码为</w:t>
      </w:r>
      <w:r w:rsidR="004B4233">
        <w:rPr>
          <w:rFonts w:hint="eastAsia"/>
          <w:color w:val="FF0000"/>
          <w:sz w:val="28"/>
          <w:szCs w:val="28"/>
        </w:rPr>
        <w:t>123</w:t>
      </w:r>
      <w:r w:rsidR="00764FF6">
        <w:rPr>
          <w:rFonts w:hint="eastAsia"/>
          <w:color w:val="FF0000"/>
          <w:sz w:val="28"/>
          <w:szCs w:val="28"/>
        </w:rPr>
        <w:t>456</w:t>
      </w:r>
    </w:p>
    <w:p w:rsidR="004B4233" w:rsidRDefault="004B4233" w:rsidP="007F2DAE">
      <w:pPr>
        <w:rPr>
          <w:color w:val="FF0000"/>
          <w:sz w:val="28"/>
          <w:szCs w:val="28"/>
        </w:rPr>
      </w:pPr>
    </w:p>
    <w:p w:rsidR="000E5A95" w:rsidRDefault="000E5A95" w:rsidP="007F2DAE">
      <w:pPr>
        <w:rPr>
          <w:color w:val="FF0000"/>
          <w:sz w:val="28"/>
          <w:szCs w:val="28"/>
        </w:rPr>
      </w:pPr>
    </w:p>
    <w:p w:rsidR="000E5A95" w:rsidRDefault="000E5A95" w:rsidP="00B653FC">
      <w:pPr>
        <w:pStyle w:val="a4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录入完成后请点击提交审核，携带所有文件的</w:t>
      </w:r>
      <w:r w:rsidRPr="00805BD3">
        <w:rPr>
          <w:rFonts w:hint="eastAsia"/>
          <w:color w:val="FF0000"/>
          <w:sz w:val="28"/>
          <w:szCs w:val="28"/>
        </w:rPr>
        <w:t>原件</w:t>
      </w:r>
      <w:r>
        <w:rPr>
          <w:rFonts w:hint="eastAsia"/>
          <w:color w:val="000000" w:themeColor="text1"/>
          <w:sz w:val="28"/>
          <w:szCs w:val="28"/>
        </w:rPr>
        <w:t>和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一份</w:t>
      </w:r>
      <w:r w:rsidRPr="00805BD3">
        <w:rPr>
          <w:rFonts w:hint="eastAsia"/>
          <w:color w:val="FF0000"/>
          <w:sz w:val="28"/>
          <w:szCs w:val="28"/>
        </w:rPr>
        <w:t>复印件</w:t>
      </w:r>
      <w:r>
        <w:rPr>
          <w:rFonts w:hint="eastAsia"/>
          <w:color w:val="000000" w:themeColor="text1"/>
          <w:sz w:val="28"/>
          <w:szCs w:val="28"/>
        </w:rPr>
        <w:t>（</w:t>
      </w:r>
      <w:r w:rsidR="001F1032">
        <w:rPr>
          <w:rFonts w:hint="eastAsia"/>
          <w:color w:val="000000" w:themeColor="text1"/>
          <w:sz w:val="28"/>
          <w:szCs w:val="28"/>
        </w:rPr>
        <w:t>统一采购请提供</w:t>
      </w:r>
      <w:r>
        <w:rPr>
          <w:rFonts w:hint="eastAsia"/>
          <w:color w:val="000000" w:themeColor="text1"/>
          <w:sz w:val="28"/>
          <w:szCs w:val="28"/>
        </w:rPr>
        <w:t>初验表，验收记录，合同</w:t>
      </w:r>
      <w:r w:rsidR="00B653FC">
        <w:rPr>
          <w:rFonts w:hint="eastAsia"/>
          <w:color w:val="000000" w:themeColor="text1"/>
          <w:sz w:val="28"/>
          <w:szCs w:val="28"/>
        </w:rPr>
        <w:t>，采购单位申报表，设备申报表和购置明细等；</w:t>
      </w:r>
      <w:r w:rsidR="001F1032">
        <w:rPr>
          <w:rFonts w:hint="eastAsia"/>
          <w:color w:val="000000" w:themeColor="text1"/>
          <w:sz w:val="28"/>
          <w:szCs w:val="28"/>
        </w:rPr>
        <w:t>自行</w:t>
      </w:r>
      <w:r>
        <w:rPr>
          <w:rFonts w:hint="eastAsia"/>
          <w:color w:val="000000" w:themeColor="text1"/>
          <w:sz w:val="28"/>
          <w:szCs w:val="28"/>
        </w:rPr>
        <w:t>购置携带发票，</w:t>
      </w:r>
      <w:r w:rsidR="00B653FC">
        <w:rPr>
          <w:rFonts w:hint="eastAsia"/>
          <w:color w:val="000000" w:themeColor="text1"/>
          <w:sz w:val="28"/>
          <w:szCs w:val="28"/>
        </w:rPr>
        <w:t>采购单位申报表，设备申报表</w:t>
      </w:r>
      <w:r>
        <w:rPr>
          <w:rFonts w:hint="eastAsia"/>
          <w:color w:val="000000" w:themeColor="text1"/>
          <w:sz w:val="28"/>
          <w:szCs w:val="28"/>
        </w:rPr>
        <w:t>，购置明细</w:t>
      </w:r>
      <w:r w:rsidR="00B653FC">
        <w:rPr>
          <w:rFonts w:hint="eastAsia"/>
          <w:color w:val="000000" w:themeColor="text1"/>
          <w:sz w:val="28"/>
          <w:szCs w:val="28"/>
        </w:rPr>
        <w:t>单</w:t>
      </w:r>
      <w:r>
        <w:rPr>
          <w:rFonts w:hint="eastAsia"/>
          <w:color w:val="000000" w:themeColor="text1"/>
          <w:sz w:val="28"/>
          <w:szCs w:val="28"/>
        </w:rPr>
        <w:t>等）到资产处进行审核后打印入库单。</w:t>
      </w:r>
    </w:p>
    <w:p w:rsidR="00B653FC" w:rsidRDefault="00B653FC" w:rsidP="00B653FC">
      <w:pPr>
        <w:pStyle w:val="a4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初验表，设备申报表和报废申报表都在资产处网页下载，下载地址：</w:t>
      </w:r>
    </w:p>
    <w:p w:rsidR="00B653FC" w:rsidRDefault="001611A2" w:rsidP="00B653FC">
      <w:pPr>
        <w:pStyle w:val="a4"/>
        <w:ind w:left="360" w:firstLineChars="0" w:firstLine="0"/>
        <w:rPr>
          <w:color w:val="000000" w:themeColor="text1"/>
          <w:sz w:val="28"/>
          <w:szCs w:val="28"/>
        </w:rPr>
      </w:pPr>
      <w:hyperlink r:id="rId20" w:history="1">
        <w:r w:rsidR="00B653FC" w:rsidRPr="00FE1DCB">
          <w:rPr>
            <w:rStyle w:val="a5"/>
            <w:sz w:val="28"/>
            <w:szCs w:val="28"/>
          </w:rPr>
          <w:t>http://202.203.144.4/zcc/info.asp?articleid=71</w:t>
        </w:r>
      </w:hyperlink>
    </w:p>
    <w:p w:rsidR="00B653FC" w:rsidRDefault="00B653FC" w:rsidP="00B653FC">
      <w:pPr>
        <w:pStyle w:val="a4"/>
        <w:ind w:left="360" w:firstLineChars="0" w:firstLine="0"/>
        <w:rPr>
          <w:color w:val="000000" w:themeColor="text1"/>
          <w:sz w:val="28"/>
          <w:szCs w:val="28"/>
        </w:rPr>
      </w:pPr>
    </w:p>
    <w:p w:rsidR="00B653FC" w:rsidRPr="00B653FC" w:rsidRDefault="00B653FC" w:rsidP="00B653FC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注：</w:t>
      </w:r>
      <w:r w:rsidRPr="00B653FC">
        <w:rPr>
          <w:rFonts w:hint="eastAsia"/>
          <w:color w:val="000000" w:themeColor="text1"/>
          <w:sz w:val="28"/>
          <w:szCs w:val="28"/>
        </w:rPr>
        <w:t>资产入库系统只能在校园内网使用，外</w:t>
      </w:r>
      <w:proofErr w:type="gramStart"/>
      <w:r w:rsidRPr="00B653FC">
        <w:rPr>
          <w:rFonts w:hint="eastAsia"/>
          <w:color w:val="000000" w:themeColor="text1"/>
          <w:sz w:val="28"/>
          <w:szCs w:val="28"/>
        </w:rPr>
        <w:t>网无法</w:t>
      </w:r>
      <w:proofErr w:type="gramEnd"/>
      <w:r w:rsidRPr="00B653FC">
        <w:rPr>
          <w:rFonts w:hint="eastAsia"/>
          <w:color w:val="000000" w:themeColor="text1"/>
          <w:sz w:val="28"/>
          <w:szCs w:val="28"/>
        </w:rPr>
        <w:t>进入此系统。</w:t>
      </w:r>
      <w:r w:rsidR="008C3B56">
        <w:rPr>
          <w:rFonts w:hint="eastAsia"/>
          <w:color w:val="000000" w:themeColor="text1"/>
          <w:sz w:val="28"/>
          <w:szCs w:val="28"/>
        </w:rPr>
        <w:t>如有其它疑问，请联系资产管理处：</w:t>
      </w:r>
      <w:r w:rsidR="008C3B56">
        <w:rPr>
          <w:rFonts w:hint="eastAsia"/>
          <w:color w:val="000000" w:themeColor="text1"/>
          <w:sz w:val="28"/>
          <w:szCs w:val="28"/>
        </w:rPr>
        <w:t>0871-65913202</w:t>
      </w:r>
    </w:p>
    <w:sectPr w:rsidR="00B653FC" w:rsidRPr="00B6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A2" w:rsidRDefault="001611A2" w:rsidP="001F1032">
      <w:r>
        <w:separator/>
      </w:r>
    </w:p>
  </w:endnote>
  <w:endnote w:type="continuationSeparator" w:id="0">
    <w:p w:rsidR="001611A2" w:rsidRDefault="001611A2" w:rsidP="001F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A2" w:rsidRDefault="001611A2" w:rsidP="001F1032">
      <w:r>
        <w:separator/>
      </w:r>
    </w:p>
  </w:footnote>
  <w:footnote w:type="continuationSeparator" w:id="0">
    <w:p w:rsidR="001611A2" w:rsidRDefault="001611A2" w:rsidP="001F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3EF"/>
    <w:multiLevelType w:val="hybridMultilevel"/>
    <w:tmpl w:val="DF1495A6"/>
    <w:lvl w:ilvl="0" w:tplc="72D001F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652B43"/>
    <w:multiLevelType w:val="hybridMultilevel"/>
    <w:tmpl w:val="BB00721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E1D45DB"/>
    <w:multiLevelType w:val="hybridMultilevel"/>
    <w:tmpl w:val="72AE16E6"/>
    <w:lvl w:ilvl="0" w:tplc="B2785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BF3BF8"/>
    <w:multiLevelType w:val="hybridMultilevel"/>
    <w:tmpl w:val="9B84B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B33ED6"/>
    <w:multiLevelType w:val="hybridMultilevel"/>
    <w:tmpl w:val="964437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EC2597C"/>
    <w:multiLevelType w:val="hybridMultilevel"/>
    <w:tmpl w:val="5C7427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500D25"/>
    <w:multiLevelType w:val="hybridMultilevel"/>
    <w:tmpl w:val="9548782A"/>
    <w:lvl w:ilvl="0" w:tplc="874299B8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03"/>
    <w:rsid w:val="00097A32"/>
    <w:rsid w:val="000E04F7"/>
    <w:rsid w:val="000E5A95"/>
    <w:rsid w:val="001611A2"/>
    <w:rsid w:val="00164468"/>
    <w:rsid w:val="00191D23"/>
    <w:rsid w:val="001A7E1F"/>
    <w:rsid w:val="001C4B03"/>
    <w:rsid w:val="001F1032"/>
    <w:rsid w:val="00207D9A"/>
    <w:rsid w:val="002A137C"/>
    <w:rsid w:val="00300360"/>
    <w:rsid w:val="0032305D"/>
    <w:rsid w:val="00346294"/>
    <w:rsid w:val="00376B58"/>
    <w:rsid w:val="003F4292"/>
    <w:rsid w:val="00410545"/>
    <w:rsid w:val="00494E88"/>
    <w:rsid w:val="004B4233"/>
    <w:rsid w:val="00513197"/>
    <w:rsid w:val="005A4DEB"/>
    <w:rsid w:val="0061195A"/>
    <w:rsid w:val="0066280C"/>
    <w:rsid w:val="00736717"/>
    <w:rsid w:val="00764FF6"/>
    <w:rsid w:val="00777B6F"/>
    <w:rsid w:val="007F2DAE"/>
    <w:rsid w:val="00802394"/>
    <w:rsid w:val="00805BD3"/>
    <w:rsid w:val="00827A80"/>
    <w:rsid w:val="008338E9"/>
    <w:rsid w:val="00837545"/>
    <w:rsid w:val="00880E18"/>
    <w:rsid w:val="008C3B56"/>
    <w:rsid w:val="008F26C7"/>
    <w:rsid w:val="00927010"/>
    <w:rsid w:val="009C0475"/>
    <w:rsid w:val="009F66E7"/>
    <w:rsid w:val="00A30E72"/>
    <w:rsid w:val="00A37695"/>
    <w:rsid w:val="00B653FC"/>
    <w:rsid w:val="00B72171"/>
    <w:rsid w:val="00BC38CE"/>
    <w:rsid w:val="00C252BA"/>
    <w:rsid w:val="00C507D2"/>
    <w:rsid w:val="00C61C81"/>
    <w:rsid w:val="00C62CE3"/>
    <w:rsid w:val="00C83369"/>
    <w:rsid w:val="00C95B73"/>
    <w:rsid w:val="00CE6D6B"/>
    <w:rsid w:val="00D915FA"/>
    <w:rsid w:val="00DD3804"/>
    <w:rsid w:val="00E125C7"/>
    <w:rsid w:val="00E2380F"/>
    <w:rsid w:val="00E41F6A"/>
    <w:rsid w:val="00E85F16"/>
    <w:rsid w:val="00F01689"/>
    <w:rsid w:val="00F408D3"/>
    <w:rsid w:val="00F6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4B03"/>
    <w:rPr>
      <w:sz w:val="18"/>
      <w:szCs w:val="18"/>
    </w:rPr>
  </w:style>
  <w:style w:type="paragraph" w:styleId="a4">
    <w:name w:val="List Paragraph"/>
    <w:basedOn w:val="a"/>
    <w:uiPriority w:val="34"/>
    <w:qFormat/>
    <w:rsid w:val="001C4B0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C4B0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F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10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1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4B03"/>
    <w:rPr>
      <w:sz w:val="18"/>
      <w:szCs w:val="18"/>
    </w:rPr>
  </w:style>
  <w:style w:type="paragraph" w:styleId="a4">
    <w:name w:val="List Paragraph"/>
    <w:basedOn w:val="a"/>
    <w:uiPriority w:val="34"/>
    <w:qFormat/>
    <w:rsid w:val="001C4B0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C4B0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F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10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1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media/image2.png" Type="http://schemas.openxmlformats.org/officeDocument/2006/relationships/image"/><Relationship Id="rId11" Target="media/image3.png" Type="http://schemas.openxmlformats.org/officeDocument/2006/relationships/image"/><Relationship Id="rId12" Target="media/image4.png" Type="http://schemas.openxmlformats.org/officeDocument/2006/relationships/image"/><Relationship Id="rId13" Target="media/image5.png" Type="http://schemas.openxmlformats.org/officeDocument/2006/relationships/image"/><Relationship Id="rId14" Target="media/image6.png" Type="http://schemas.openxmlformats.org/officeDocument/2006/relationships/image"/><Relationship Id="rId15" Target="media/image7.png" Type="http://schemas.openxmlformats.org/officeDocument/2006/relationships/image"/><Relationship Id="rId16" Target="media/image8.png" Type="http://schemas.openxmlformats.org/officeDocument/2006/relationships/image"/><Relationship Id="rId17" Target="media/image9.png" Type="http://schemas.openxmlformats.org/officeDocument/2006/relationships/image"/><Relationship Id="rId18" Target="media/image10.png" Type="http://schemas.openxmlformats.org/officeDocument/2006/relationships/image"/><Relationship Id="rId19" Target="media/image11.png" Type="http://schemas.openxmlformats.org/officeDocument/2006/relationships/image"/><Relationship Id="rId2" Target="styles.xml" Type="http://schemas.openxmlformats.org/officeDocument/2006/relationships/styles"/><Relationship Id="rId20" Target="http://202.203.144.4/zcc/info.asp?articleid=71" TargetMode="External" Type="http://schemas.openxmlformats.org/officeDocument/2006/relationships/hyperlink"/><Relationship Id="rId21" Target="fontTable.xml" Type="http://schemas.openxmlformats.org/officeDocument/2006/relationships/fontTable"/><Relationship Id="rId22" Target="theme/theme1.xml" Type="http://schemas.openxmlformats.org/officeDocument/2006/relationships/theme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192.168.10.231/sbk2000_8.5/PlatForm.aspx" TargetMode="External" Type="http://schemas.openxmlformats.org/officeDocument/2006/relationships/hyperlink"/><Relationship Id="rId9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2015-10-21T08:06:00Z</dcterms:created>
  <dc:creator>dell</dc:creator>
  <cp:lastModifiedBy>dell</cp:lastModifiedBy>
  <dcterms:modified xsi:type="dcterms:W3CDTF">2016-05-19T06:31:00Z</dcterms:modified>
  <cp:revision>17</cp:revision>
</cp:coreProperties>
</file>